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Муниципальное бюджетное учреждение дополнительного образования </w:t>
      </w: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«Детский эколого-биологический центр» </w:t>
      </w: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Нижнекамского муниципального района </w:t>
      </w: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Республики Татарстан</w:t>
      </w: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ОТЧЕТ </w:t>
      </w: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о проделанной работе первичной профсоюзной организации</w:t>
      </w: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 МБУ ДО «ДЭБЦ»</w:t>
      </w: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за 2025 год</w:t>
      </w: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tabs>
          <w:tab w:val="left" w:pos="6210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2025год</w:t>
      </w:r>
    </w:p>
    <w:p>
      <w:pP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br w:type="page" w:clear="all"/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numPr>
          <w:numId w:val="4"/>
          <w:ilvl w:val="0"/>
        </w:numPr>
        <w:spacing w:before="0" w:after="0" w:line="240" w:lineRule="auto"/>
        <w:ind w:left="1080" w:right="0" w:hanging="720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Общие вопросы</w:t>
      </w:r>
    </w:p>
    <w:p>
      <w:pPr>
        <w:spacing w:before="0" w:after="0" w:line="240" w:lineRule="auto"/>
        <w:ind w:left="108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1. Наименование организации: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Муниципальное бюджетное учреждение дополнительного образования «Детский эколого-биологический центр» Нижнекамского муниципального района Республики Татарстан.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2. Юридически и почтовый адрес: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Юридический адрес: Республика Татарстан, город Нижнекамск, пр. Шинников, д. 59;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Почтовый адрес: 423570, Российская Федерация, Республика Татарстан, город Нижнекамск, пр. Шинников, д. 59.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3. Ф.И.О. и должность руководителя: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Директор МБУДО «ДЭБЦ» НМР РТ  Хуснуллина Гузель Фазыловна.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4. Ф.И.О. представителя трудового коллектива.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Председатель профсоюзного комитета  Бергутова Разиля Фаритовна.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5. Краткая характеристики организации. в т.ч.: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Организационно - правовая форма: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учреждения  бюджетное учреждение;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тип учреждения  учреждение дополнительного образования детей;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вид учреждения  детский эколого-биологический центр.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форма собственности: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муниципальная;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численность сотрудников: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всего работников  34 человека;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членов профсоюза  35 человек.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основная номенклатура производимой продукции, выполняемых услуг (ОКВЭД):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85.41. дополнительное образование детей и взрослых.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6. На какой срок заключен коллективный договор: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срок  5 лет;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дата его принятия: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 20 марта 2020 года по 20 марта 2025 года;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дата регистрации коллективного договора в центре занятости населения: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дата регистрации  20 марта 2020 года, регистрационный номер  78;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стороны, подписавшие коллективный договор: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работники образовательного учреждения в лице их полномочного представителя председателя профсоюзного комитета  Бергутовой Разили Фаритовны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работодатель в лице директора образовательного учреждения  Хуснуллиной Гузель Фазыловны;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где принят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(на общем собрании, на конференции трудового коллектива)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:</w:t>
      </w:r>
    </w:p>
    <w:p>
      <w:pPr>
        <w:pStyle w:val="Style_20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коллективный договор принят на общем собрании трудового коллектива, протокол №6 от 20 марта 2020 года.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7. Как часто проводится подведение итогов коллективного договора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(1 раз в год, 2 раза в год и т.д.)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Подведение итогов работы профсоюзной организации образовательного учреждения проводится 1 раз в год;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наличие материалов проведения совещания по подведению итогов выполнения коллективного договора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bidi="ru-RU"/>
        </w:rPr>
        <w:t xml:space="preserve"> </w:t>
      </w:r>
    </w:p>
    <w:p>
      <w:pPr>
        <w:pStyle w:val="Style_23"/>
        <w:spacing w:before="0" w:after="0" w:line="240" w:lineRule="auto"/>
        <w:ind w:left="0" w:right="0" w:firstLine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val="ru-RU" w:bidi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Протокол №13 от 19 января 2026 года. Повестка: отчёт о выполнении обязательств, предусмотренных коллективным договором за период с 24.12.2024 года по 19.01.2026 года.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8. Основные разделы коллективного договора (перечислить):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1. Общие положения.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2. Развитие социального партнёрства и координация действий сторон.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3.Обязательства сторон.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4. Развитие учительского потенциала.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5. Трудовые отношения, рабочее время и время отдыха.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6. Оплата и нормы труда.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7. Гарантии содействия занятости.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8. Улучшение условий труда и обучения.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9. Пенсионное обеспечение.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10. Молодёжная политика.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11. Гарантии профсоюзной деятельности.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Приложение №1 Положение о социальных гарантиях и льготах для членов профсоюза.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Приложение №2 права и льготы, предоставляемые педагогическим работникам образовательных организаций РТ при подготовке и проведении аттестации.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Приложение №3 Перечень наград и поощрений для единовременного денежного вознаграждения за счёт средств работодателя.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bidi="ru-RU"/>
        </w:rPr>
        <w:t xml:space="preserve">II.Исполнение обязательств, предусмотренных коллективным договором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9.Исполнение обязательств по оплате труда, предусмотренных коллективным договором: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9.1. Фактические показатели: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минимальная заработная плата – 23786,40 руб.;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минимальная тарифная ставка – 23220,00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доля тарифа в структуре зарплаты – 80%;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среднемесячной заработной платы педагогов – 69899,35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среднемесячной заработной платы администрации – 56586,11 руб.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среднемесячной заработной платы обслуживающего персонала – 33976,76 руб.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-индексация заработной платы производится на основании постановлений вышестоящих организаций;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сроки выплаты заработной платы –не позднее 25 числа – аванс; не позднее 10 числа – окончательный расчёт каждого месяца.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9.2. Численность работников организации, получающих минимальную заработную плату – 6 человек, их удельный вес 10% в общей численности работников.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9.3. Наличие задолженности по выплате заработной платы – не имеется;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производится своевременная индексация базовых окладов (ставок) и должностных окладов работников в связи с ростом потребительских цен;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производятся выплаты стимулирующего (за интенсивность и высокие результаты работы, стаж, категорию, качество выполняемой работы и др.) и компенсационного (тяжёлые условия труда, условий, отклоняющихся от нормальных и др.) характера в соответствии с приказами на основании Положения о порядке распределения 2% -го премиального фонда;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9.4. Соответствуют ли обязательства по оплате труда, предусмотренные в коллективном договоре, обязательствам отраслевого Соглашения – да.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10. Исполнение обязательств по дополнительным социальным гарантиям, предусмотренных коллективным договором: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10.1. Показатели дополнительных социальных гарантий, предусмотренные коллективным договором: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женщинам, имеющим детей в возрасте до 16 лет, предоставляется оплачиваемый день в месяц – 9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 предоставляются оплачиваемые свободные дни по семейным обстоятельствам (смерть родственника, родителям первоклассников) – 5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работникам, имеющим родителей в возрасте 80 лет и старше предоставляется 1 дополнительный выходной день в квартал – 4 чел.;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работникам, имеющим ребёнка инвалида, предоставляется 1 дополнительный выходной день в квартал – 0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работникам, предоставляется материальное вознаграждение, в связи с выходом на пенсию – 0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работникам–студентам предоставляются оплачиваемые ученические отпуска, в соответствии с приказом на основании справки–вызова – 2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работникам, проработавшим учебный год без листа нетрудоспособности, предоставляются три календарных дня дополнительного оплачиваемого отпуска – 16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не освобождённому председателю профкома предоставляются 10 календарных дней дополнительного оплачиваемого отпуска;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работникам, являющимся инвалидами I и II группы, устанавливается продолжительность рабочего времени 35 часов в неделю с сохранением полной оплаты труда – 2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работникам, имеющим квалификационную категорию, предоставляется льгота по установлению уровня оплаты труда – 3 чел.;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работникам, предоставляются санаторно-курортные путёвки по республиканскому проекту «профПутёвка» – 2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работникам, предоставляется возможность отдохнуть по республиканскому проекту «Профсоюзный уик-энд» – 3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работникам, предоставляется возможность отдохнуть по другим проектам: автобусный тур в Санкт-Петербург – 4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детям работников предоставляются путёвки в лагеря отдыха - 1чел. (Юность).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10.2. Фактические произведенные выплаты по дополнительным социальным гарантиям: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социальные выплаты (коллективные праздники, мероприятия, экскурсии и пр.) (профвзносы) – 50000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lang w:val="ru-RU" w:bidi="ru-RU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материальное поощрение работникам (юбилеи, бракосочетание, рождение детей, участие в проектах) (профвзносы) – 14000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материальная помощь по дополнительным социальным гарантиям (смерть близкого родственника, оплата дорогостоящих операций, лечение и пр.) (профвзносы) – 5000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материальная помощь из республиканского 2% фонда социальной поддержки (по болезни) – 30000 руб. – 1 чел.;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премирование за педагогические достижения в связи с юбилейными датами (из фонда экономии,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профвзносы) – 229494,75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ежемесячная (2200 руб.) доплата не освобождённому председателю профкома (из премиального фонда) – 26400 руб.;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ежемесячная (700 руб.) доплата уполномоченному по охране труда (из премиального фонда) – 8400 руб.;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Всего расходов по данному разделу –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bidi="ru-RU"/>
        </w:rPr>
        <w:t xml:space="preserve">363294 руб.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11. Исполнение обязательств по охране труда, предусмотренных коллективным договором: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11.1. Показатели по охране труда, предусмотренные коллективным договором: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проведение тренировочных эвакуаций;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организация плановых медосмотров;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организация диспансеризации;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комплектование аптечек первой медицинской помощи;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обеспечение методической литературой по охране труда.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11.2. Фактические произведенные расходы по выполнению обязательств данного раздела: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производятся перечисления на обязательное социальное страхование работников от несчастных случаев на производстве и профессиональных заболеваний – 0,2% от базовой ставки;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проведение СОУТ всех рабочих мест 2025г.до 2030г. – 17490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приобретение СЭС моющих средств, хозяйственных товаров </w:t>
      </w:r>
      <w:bookmarkStart w:id="1" w:name="_Hlk219764108"/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–</w:t>
      </w:r>
      <w:bookmarkEnd w:id="1"/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87931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дератизация и дезинсекция – 34957,30 руб.; 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оказание услуг по лабораторно-инструментальным исследованиям – 26413 руб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оказание услуг по техническому обслуживанию систем (средств, установок) автоматической пожарной сигнализации, систем оповещения о пожаре и системы дымоудаления – 40320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оказание услуг частной охраной организации – 253100,16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оказание услуг по предупреждению и пресечению правонарушений и преступлений с помощью тревожной сигнализации – 14959,40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услуги частной охраны – 438359,04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оказание услуг по техническому обслуживанию технических средств охраны – 12556,92руб.;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оказание услуг по техническому обслуживанию системы «Стрелец-Мониторинг» – 76800 руб.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оказание услуг на техническое обслуживание узлов учёта тепловой энергии, горячего и холодного водоснабжения, узлов погодного регулирования – 127722,68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-услуги фиксированной телефонной связи в выделенных сетях связи – 29560руб.;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оказание услуги по сопровождению ГИС «Бухгалтерский учет и отчетность государственных органов РТ и подведомственных им учреждений» – 40800руб.;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корма для животных – 13298,05 руб.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Всего расходов по данному разделу –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bidi="ru-RU"/>
        </w:rPr>
        <w:t xml:space="preserve">1214267,55 руб.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12. Исполнение обязательств по обеспечению занятости и развитию персонала, предусмотренных коллективным договором: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12.1. Фактические произведенные расходы по выполнению обязательств данного раздела: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приобретение канцелярских товаров, офисной бумаги – 29172 руб.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12.2. Вопросы подготовки и переподготовки кадров, профессиональное обучение: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расходы на оказание услуг по проведению профессиональной гигиенической подготовки, аттестации и соответствующей отметки в личной медицинской книжке – 4593,30 руб. (шефская помощь);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услуги по обучению по программе «Готовимся к применению стандартов 2026 года-отдельные вопросы учёта в текущем году, практика и решения. Реализация стандартов через унифицированные документы – основные задачи электронного документооборота. Готовая отчетность за 2025 год» – 3700 руб.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оказание услуг по пред аттестационной подготовке по программе «Правила технической эксплуатации тепловых энергоустановок потребителей» с аттестацией – 2600 руб.;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- обучение по программе повышения квалификации для специалистов в сфере закупок и контактных управляющих по теме «Контактная система в сфере закупок товаров, работ, услуг для обеспечения государственных и муниципальных нужд» – 6000 руб.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Всего расходов по данному разделу – 46065,30 руб.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bidi="ru-RU"/>
        </w:rPr>
        <w:t xml:space="preserve">13. Меры, принимаемые сторонами по невыполненным обязательствам коллективного договора. 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Обязательства по выполнению коллективного договора выполняются в полном объёме и в срок.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Директор МБУ ДО «ДЭБЦ»                                   Г.Ф. Хуснуллина</w:t>
      </w: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</w:p>
    <w:p>
      <w:pP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Представитель трудового коллектива                     Р.Ф. Бергутова</w:t>
      </w:r>
    </w:p>
    <w:sectPr>
      <w:footerReference w:type="even" r:id="rId9"/>
      <w:footerReference w:type="default" r:id="rId10"/>
      <w:footnotePr>
        <w:pos w:val="pageBottom"/>
      </w:footnotePr>
      <w:type w:val="continuous"/>
      <w:pgSz w:w="11909" w:h="16834"/>
      <w:pgMar w:top="567" w:right="852" w:bottom="709" w:left="1134" w:header="720" w:footer="720" w:gutter="0"/>
      <w:cols w:num="1" w:space="60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separator/>
      </w:r>
    </w:p>
  </w:endnote>
  <w:endnote w:type="continuationSeparator" w:id="1">
    <w:p>
      <w:pPr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5"/>
      <w:framePr w:wrap="around" w:vAnchor="text" w:hAnchor="margin" w:xAlign="right" w:y="0"/>
      <w:widowControl w:val="off"/>
      <w:tabs>
        <w:tab w:val="center" w:pos="4677"/>
        <w:tab w:val="right" w:pos="9355"/>
      </w:tabs>
      <w:spacing w:before="0" w:after="0" w:line="240" w:lineRule="auto"/>
      <w:ind w:left="0" w:right="0" w:firstLine="0"/>
      <w:jc w:val="left"/>
      <w:rPr>
        <w:rStyle w:val="Style_17"/>
        <w:rFonts w:ascii="Times New Roman" w:hAnsi="Times New Roman" w:eastAsia="Times New Roman" w:cs="Times New Roman"/>
        <w:sz w:val="20"/>
        <w:szCs w:val="20"/>
        <w:lang w:val="ru-RU" w:bidi="ru-RU"/>
      </w:rPr>
    </w:pPr>
    <w:r>
      <w:rPr>
        <w:rFonts w:ascii="Times New Roman" w:hAnsi="Times New Roman" w:eastAsia="Times New Roman" w:cs="Times New Roman"/>
        <w:sz w:val="20"/>
        <w:szCs w:val="20"/>
        <w:lang w:val="ru-RU" w:bidi="ru-RU"/>
      </w:rPr>
      <w:fldChar w:fldCharType="begin"/>
    </w:r>
    <w:r>
      <w:rPr>
        <w:rFonts w:ascii="Times New Roman" w:hAnsi="Times New Roman" w:eastAsia="Times New Roman" w:cs="Times New Roman"/>
        <w:sz w:val="20"/>
        <w:szCs w:val="20"/>
        <w:lang w:val="ru-RU" w:bidi="ru-RU"/>
      </w:rPr>
      <w:instrText xml:space="preserve">PAGE  </w:instrText>
    </w:r>
    <w:r>
      <w:fldChar w:fldCharType="separate"/>
    </w:r>
    <w:r>
      <w:rPr>
        <w:rFonts w:ascii="Times New Roman" w:hAnsi="Times New Roman" w:eastAsia="Times New Roman" w:cs="Times New Roman"/>
        <w:sz w:val="20"/>
        <w:szCs w:val="20"/>
        <w:lang w:val="ru-RU" w:bidi="ru-RU"/>
      </w:rPr>
    </w:r>
    <w:r>
      <w:fldChar w:fldCharType="end"/>
    </w:r>
  </w:p>
  <w:p>
    <w:pPr>
      <w:pStyle w:val="Style_15"/>
      <w:tabs>
        <w:tab w:val="center" w:pos="4677"/>
        <w:tab w:val="right" w:pos="9355"/>
      </w:tabs>
      <w:spacing w:before="0" w:after="0" w:line="240" w:lineRule="auto"/>
      <w:ind w:left="0" w:right="360" w:firstLine="0"/>
      <w:jc w:val="left"/>
      <w:rPr>
        <w:rFonts w:ascii="Times New Roman" w:hAnsi="Times New Roman" w:eastAsia="Times New Roman" w:cs="Times New Roman"/>
        <w:sz w:val="20"/>
        <w:szCs w:val="20"/>
        <w:lang w:val="ru-RU" w:bidi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5"/>
      <w:framePr w:wrap="around" w:vAnchor="text" w:hAnchor="margin" w:xAlign="right" w:y="0"/>
      <w:widowControl w:val="off"/>
      <w:tabs>
        <w:tab w:val="center" w:pos="4677"/>
        <w:tab w:val="right" w:pos="9355"/>
      </w:tabs>
      <w:spacing w:before="0" w:after="0" w:line="240" w:lineRule="auto"/>
      <w:ind w:left="0" w:right="0" w:firstLine="0"/>
      <w:jc w:val="left"/>
      <w:rPr>
        <w:rStyle w:val="Style_17"/>
        <w:rFonts w:ascii="Times New Roman" w:hAnsi="Times New Roman" w:eastAsia="Times New Roman" w:cs="Times New Roman"/>
        <w:sz w:val="20"/>
        <w:szCs w:val="20"/>
        <w:lang w:val="ru-RU" w:bidi="ru-RU"/>
      </w:rPr>
    </w:pPr>
    <w:r>
      <w:rPr>
        <w:rStyle w:val="Style_17"/>
        <w:rFonts w:ascii="Times New Roman" w:hAnsi="Times New Roman" w:eastAsia="Times New Roman" w:cs="Times New Roman"/>
        <w:sz w:val="20"/>
        <w:szCs w:val="20"/>
        <w:lang w:val="ru-RU" w:bidi="ru-RU"/>
      </w:rPr>
      <w:fldChar w:fldCharType="begin"/>
    </w:r>
    <w:r>
      <w:rPr>
        <w:rStyle w:val="Style_17"/>
        <w:rFonts w:ascii="Times New Roman" w:hAnsi="Times New Roman" w:eastAsia="Times New Roman" w:cs="Times New Roman"/>
        <w:sz w:val="20"/>
        <w:szCs w:val="20"/>
        <w:lang w:val="ru-RU" w:bidi="ru-RU"/>
      </w:rPr>
      <w:instrText xml:space="preserve">PAGE  </w:instrText>
    </w:r>
    <w:r>
      <w:fldChar w:fldCharType="separate"/>
    </w:r>
    <w:r>
      <w:rPr>
        <w:rStyle w:val="Style_17"/>
        <w:rFonts w:ascii="Times New Roman" w:hAnsi="Times New Roman" w:eastAsia="Times New Roman" w:cs="Times New Roman"/>
        <w:sz w:val="20"/>
        <w:szCs w:val="20"/>
        <w:lang w:val="ru-RU" w:bidi="ru-RU"/>
      </w:rPr>
      <w:t xml:space="preserve">6</w:t>
    </w:r>
    <w:r>
      <w:fldChar w:fldCharType="end"/>
    </w:r>
  </w:p>
  <w:p>
    <w:pPr>
      <w:pStyle w:val="Style_15"/>
      <w:tabs>
        <w:tab w:val="center" w:pos="4677"/>
        <w:tab w:val="right" w:pos="9355"/>
      </w:tabs>
      <w:spacing w:before="0" w:after="0" w:line="240" w:lineRule="auto"/>
      <w:ind w:left="0" w:right="360" w:firstLine="0"/>
      <w:jc w:val="left"/>
      <w:rPr>
        <w:rFonts w:ascii="Times New Roman" w:hAnsi="Times New Roman" w:eastAsia="Times New Roman" w:cs="Times New Roman"/>
        <w:sz w:val="20"/>
        <w:szCs w:val="20"/>
        <w:lang w:val="ru-RU" w:bidi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separator/>
      </w:r>
    </w:p>
  </w:footnote>
  <w:footnote w:type="continuationSeparator" w:id="1">
    <w:p>
      <w:pPr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-2">
    <w:multiLevelType w:val="hybridMultilevel"/>
    <w:lvl w:ilvl="0">
      <w:start w:val="0"/>
      <w:numFmt w:val="bullet"/>
      <w:suff w:val="tab"/>
      <w:lvlText w:val="*"/>
      <w:lvlJc w:val="left"/>
      <w:pPr>
        <w:ind w:left="0"/>
      </w:pPr>
      <w:rPr>
        <w:rFonts w:ascii="Times New Roman" w:hAnsi="Times New Roman" w:eastAsia="Times New Roman" w:cs="Times New Roman"/>
        <w:lang w:val="ru-RU" w:bidi="ru-RU"/>
      </w:rPr>
    </w:lvl>
  </w:abstractNum>
  <w:abstractNum w:abstractNumId="110131421">
    <w:multiLevelType w:val="hybridMultilevel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ascii="Times New Roman" w:hAnsi="Times New Roman" w:eastAsia="Times New Roman" w:cs="Times New Roman"/>
        <w:lang w:val="ru-RU" w:bidi="ru-RU"/>
      </w:rPr>
    </w:lvl>
    <w:lvl w:ilvl="1" w:tentative="1">
      <w:start w:val="1"/>
      <w:numFmt w:val="lowerLetter"/>
      <w:suff w:val="tab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  <w:lang w:val="ru-RU" w:bidi="ru-RU"/>
      </w:rPr>
    </w:lvl>
    <w:lvl w:ilvl="2" w:tentative="1">
      <w:start w:val="1"/>
      <w:numFmt w:val="lowerRoman"/>
      <w:suff w:val="tab"/>
      <w:lvlText w:val="%3."/>
      <w:lvlJc w:val="right"/>
      <w:pPr>
        <w:ind w:left="2160" w:hanging="180"/>
      </w:pPr>
      <w:rPr>
        <w:rFonts w:ascii="Times New Roman" w:hAnsi="Times New Roman" w:eastAsia="Times New Roman" w:cs="Times New Roman"/>
        <w:lang w:val="ru-RU" w:bidi="ru-RU"/>
      </w:rPr>
    </w:lvl>
    <w:lvl w:ilvl="3" w:tentative="1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lang w:val="ru-RU" w:bidi="ru-RU"/>
      </w:rPr>
    </w:lvl>
    <w:lvl w:ilvl="4" w:tentative="1">
      <w:start w:val="1"/>
      <w:numFmt w:val="lowerLetter"/>
      <w:suff w:val="tab"/>
      <w:lvlText w:val="%5."/>
      <w:lvlJc w:val="left"/>
      <w:pPr>
        <w:ind w:left="3600" w:hanging="360"/>
      </w:pPr>
      <w:rPr>
        <w:rFonts w:ascii="Times New Roman" w:hAnsi="Times New Roman" w:eastAsia="Times New Roman" w:cs="Times New Roman"/>
        <w:lang w:val="ru-RU" w:bidi="ru-RU"/>
      </w:rPr>
    </w:lvl>
    <w:lvl w:ilvl="5" w:tentative="1">
      <w:start w:val="1"/>
      <w:numFmt w:val="lowerRoman"/>
      <w:suff w:val="tab"/>
      <w:lvlText w:val="%6."/>
      <w:lvlJc w:val="right"/>
      <w:pPr>
        <w:ind w:left="4320" w:hanging="180"/>
      </w:pPr>
      <w:rPr>
        <w:rFonts w:ascii="Times New Roman" w:hAnsi="Times New Roman" w:eastAsia="Times New Roman" w:cs="Times New Roman"/>
        <w:lang w:val="ru-RU" w:bidi="ru-RU"/>
      </w:rPr>
    </w:lvl>
    <w:lvl w:ilvl="6" w:tentative="1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  <w:lang w:val="ru-RU" w:bidi="ru-RU"/>
      </w:rPr>
    </w:lvl>
    <w:lvl w:ilvl="7" w:tentative="1">
      <w:start w:val="1"/>
      <w:numFmt w:val="lowerLetter"/>
      <w:suff w:val="tab"/>
      <w:lvlText w:val="%8."/>
      <w:lvlJc w:val="left"/>
      <w:pPr>
        <w:ind w:left="5760" w:hanging="360"/>
      </w:pPr>
      <w:rPr>
        <w:rFonts w:ascii="Times New Roman" w:hAnsi="Times New Roman" w:eastAsia="Times New Roman" w:cs="Times New Roman"/>
        <w:lang w:val="ru-RU" w:bidi="ru-RU"/>
      </w:rPr>
    </w:lvl>
    <w:lvl w:ilvl="8" w:tentative="1">
      <w:start w:val="1"/>
      <w:numFmt w:val="lowerRoman"/>
      <w:suff w:val="tab"/>
      <w:lvlText w:val="%9."/>
      <w:lvlJc w:val="right"/>
      <w:pPr>
        <w:ind w:left="6480" w:hanging="180"/>
      </w:pPr>
      <w:rPr>
        <w:rFonts w:ascii="Times New Roman" w:hAnsi="Times New Roman" w:eastAsia="Times New Roman" w:cs="Times New Roman"/>
        <w:lang w:val="ru-RU" w:bidi="ru-RU"/>
      </w:rPr>
    </w:lvl>
  </w:abstractNum>
  <w:abstractNum w:abstractNumId="768232363">
    <w:multiLevelType w:val="hybridMultilevel"/>
    <w:lvl w:ilvl="0">
      <w:start w:val="1"/>
      <w:numFmt w:val="decimalZero"/>
      <w:suff w:val="tab"/>
      <w:lvlText w:val="%1."/>
      <w:lvlJc w:val="left"/>
      <w:pPr>
        <w:ind w:left="735" w:hanging="375"/>
      </w:pPr>
      <w:rPr>
        <w:rFonts w:ascii="Times New Roman" w:hAnsi="Times New Roman" w:eastAsia="Times New Roman" w:cs="Times New Roman"/>
        <w:lang w:val="ru-RU" w:bidi="ru-RU"/>
      </w:rPr>
    </w:lvl>
    <w:lvl w:ilvl="1" w:tentative="1">
      <w:start w:val="1"/>
      <w:numFmt w:val="lowerLetter"/>
      <w:suff w:val="tab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  <w:lang w:val="ru-RU" w:bidi="ru-RU"/>
      </w:rPr>
    </w:lvl>
    <w:lvl w:ilvl="2" w:tentative="1">
      <w:start w:val="1"/>
      <w:numFmt w:val="lowerRoman"/>
      <w:suff w:val="tab"/>
      <w:lvlText w:val="%3."/>
      <w:lvlJc w:val="right"/>
      <w:pPr>
        <w:ind w:left="2160" w:hanging="180"/>
      </w:pPr>
      <w:rPr>
        <w:rFonts w:ascii="Times New Roman" w:hAnsi="Times New Roman" w:eastAsia="Times New Roman" w:cs="Times New Roman"/>
        <w:lang w:val="ru-RU" w:bidi="ru-RU"/>
      </w:rPr>
    </w:lvl>
    <w:lvl w:ilvl="3" w:tentative="1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lang w:val="ru-RU" w:bidi="ru-RU"/>
      </w:rPr>
    </w:lvl>
    <w:lvl w:ilvl="4" w:tentative="1">
      <w:start w:val="1"/>
      <w:numFmt w:val="lowerLetter"/>
      <w:suff w:val="tab"/>
      <w:lvlText w:val="%5."/>
      <w:lvlJc w:val="left"/>
      <w:pPr>
        <w:ind w:left="3600" w:hanging="360"/>
      </w:pPr>
      <w:rPr>
        <w:rFonts w:ascii="Times New Roman" w:hAnsi="Times New Roman" w:eastAsia="Times New Roman" w:cs="Times New Roman"/>
        <w:lang w:val="ru-RU" w:bidi="ru-RU"/>
      </w:rPr>
    </w:lvl>
    <w:lvl w:ilvl="5" w:tentative="1">
      <w:start w:val="1"/>
      <w:numFmt w:val="lowerRoman"/>
      <w:suff w:val="tab"/>
      <w:lvlText w:val="%6."/>
      <w:lvlJc w:val="right"/>
      <w:pPr>
        <w:ind w:left="4320" w:hanging="180"/>
      </w:pPr>
      <w:rPr>
        <w:rFonts w:ascii="Times New Roman" w:hAnsi="Times New Roman" w:eastAsia="Times New Roman" w:cs="Times New Roman"/>
        <w:lang w:val="ru-RU" w:bidi="ru-RU"/>
      </w:rPr>
    </w:lvl>
    <w:lvl w:ilvl="6" w:tentative="1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  <w:lang w:val="ru-RU" w:bidi="ru-RU"/>
      </w:rPr>
    </w:lvl>
    <w:lvl w:ilvl="7" w:tentative="1">
      <w:start w:val="1"/>
      <w:numFmt w:val="lowerLetter"/>
      <w:suff w:val="tab"/>
      <w:lvlText w:val="%8."/>
      <w:lvlJc w:val="left"/>
      <w:pPr>
        <w:ind w:left="5760" w:hanging="360"/>
      </w:pPr>
      <w:rPr>
        <w:rFonts w:ascii="Times New Roman" w:hAnsi="Times New Roman" w:eastAsia="Times New Roman" w:cs="Times New Roman"/>
        <w:lang w:val="ru-RU" w:bidi="ru-RU"/>
      </w:rPr>
    </w:lvl>
    <w:lvl w:ilvl="8" w:tentative="1">
      <w:start w:val="1"/>
      <w:numFmt w:val="lowerRoman"/>
      <w:suff w:val="tab"/>
      <w:lvlText w:val="%9."/>
      <w:lvlJc w:val="right"/>
      <w:pPr>
        <w:ind w:left="6480" w:hanging="180"/>
      </w:pPr>
      <w:rPr>
        <w:rFonts w:ascii="Times New Roman" w:hAnsi="Times New Roman" w:eastAsia="Times New Roman" w:cs="Times New Roman"/>
        <w:lang w:val="ru-RU" w:bidi="ru-RU"/>
      </w:rPr>
    </w:lvl>
  </w:abstractNum>
  <w:abstractNum w:abstractNumId="813376694">
    <w:multiLevelType w:val="hybridMultilevel"/>
    <w:lvl w:ilvl="0">
      <w:start w:val="2"/>
      <w:numFmt w:val="decimal"/>
      <w:suff w:val="tab"/>
      <w:lvlText w:val="9.%1."/>
      <w:lvlJc w:val="left"/>
      <w:pPr>
        <w:ind w:left="423"/>
      </w:pPr>
      <w:rPr>
        <w:rFonts w:ascii="Times New Roman" w:hAnsi="Times New Roman" w:eastAsia="Times New Roman" w:cs="Times New Roman"/>
        <w:lang w:val="ru-RU" w:bidi="ru-RU"/>
      </w:rPr>
    </w:lvl>
  </w:abstractNum>
  <w:abstractNum w:abstractNumId="1916473061">
    <w:multiLevelType w:val="hybridMultilevel"/>
    <w:lvl w:ilvl="0">
      <w:start w:val="1"/>
      <w:numFmt w:val="decimal"/>
      <w:suff w:val="tab"/>
      <w:lvlText w:val="%1)"/>
      <w:lvlJc w:val="left"/>
      <w:pPr>
        <w:ind w:left="644" w:hanging="360"/>
      </w:pPr>
      <w:rPr>
        <w:rFonts w:ascii="Times New Roman" w:hAnsi="Times New Roman" w:eastAsia="Times New Roman" w:cs="Times New Roman"/>
        <w:lang w:val="ru-RU" w:bidi="ru-RU"/>
      </w:rPr>
    </w:lvl>
    <w:lvl w:ilvl="1" w:tentative="1">
      <w:start w:val="1"/>
      <w:numFmt w:val="lowerLetter"/>
      <w:suff w:val="tab"/>
      <w:lvlText w:val="%2."/>
      <w:lvlJc w:val="left"/>
      <w:pPr>
        <w:ind w:left="1364" w:hanging="360"/>
      </w:pPr>
      <w:rPr>
        <w:rFonts w:ascii="Times New Roman" w:hAnsi="Times New Roman" w:eastAsia="Times New Roman" w:cs="Times New Roman"/>
        <w:lang w:val="ru-RU" w:bidi="ru-RU"/>
      </w:rPr>
    </w:lvl>
    <w:lvl w:ilvl="2" w:tentative="1">
      <w:start w:val="1"/>
      <w:numFmt w:val="lowerRoman"/>
      <w:suff w:val="tab"/>
      <w:lvlText w:val="%3."/>
      <w:lvlJc w:val="right"/>
      <w:pPr>
        <w:ind w:left="2084" w:hanging="180"/>
      </w:pPr>
      <w:rPr>
        <w:rFonts w:ascii="Times New Roman" w:hAnsi="Times New Roman" w:eastAsia="Times New Roman" w:cs="Times New Roman"/>
        <w:lang w:val="ru-RU" w:bidi="ru-RU"/>
      </w:rPr>
    </w:lvl>
    <w:lvl w:ilvl="3" w:tentative="1">
      <w:start w:val="1"/>
      <w:numFmt w:val="decimal"/>
      <w:suff w:val="tab"/>
      <w:lvlText w:val="%4."/>
      <w:lvlJc w:val="left"/>
      <w:pPr>
        <w:ind w:left="2804" w:hanging="360"/>
      </w:pPr>
      <w:rPr>
        <w:rFonts w:ascii="Times New Roman" w:hAnsi="Times New Roman" w:eastAsia="Times New Roman" w:cs="Times New Roman"/>
        <w:lang w:val="ru-RU" w:bidi="ru-RU"/>
      </w:rPr>
    </w:lvl>
    <w:lvl w:ilvl="4" w:tentative="1">
      <w:start w:val="1"/>
      <w:numFmt w:val="lowerLetter"/>
      <w:suff w:val="tab"/>
      <w:lvlText w:val="%5."/>
      <w:lvlJc w:val="left"/>
      <w:pPr>
        <w:ind w:left="3524" w:hanging="360"/>
      </w:pPr>
      <w:rPr>
        <w:rFonts w:ascii="Times New Roman" w:hAnsi="Times New Roman" w:eastAsia="Times New Roman" w:cs="Times New Roman"/>
        <w:lang w:val="ru-RU" w:bidi="ru-RU"/>
      </w:rPr>
    </w:lvl>
    <w:lvl w:ilvl="5" w:tentative="1">
      <w:start w:val="1"/>
      <w:numFmt w:val="lowerRoman"/>
      <w:suff w:val="tab"/>
      <w:lvlText w:val="%6."/>
      <w:lvlJc w:val="right"/>
      <w:pPr>
        <w:ind w:left="4244" w:hanging="180"/>
      </w:pPr>
      <w:rPr>
        <w:rFonts w:ascii="Times New Roman" w:hAnsi="Times New Roman" w:eastAsia="Times New Roman" w:cs="Times New Roman"/>
        <w:lang w:val="ru-RU" w:bidi="ru-RU"/>
      </w:rPr>
    </w:lvl>
    <w:lvl w:ilvl="6" w:tentative="1">
      <w:start w:val="1"/>
      <w:numFmt w:val="decimal"/>
      <w:suff w:val="tab"/>
      <w:lvlText w:val="%7."/>
      <w:lvlJc w:val="left"/>
      <w:pPr>
        <w:ind w:left="4964" w:hanging="360"/>
      </w:pPr>
      <w:rPr>
        <w:rFonts w:ascii="Times New Roman" w:hAnsi="Times New Roman" w:eastAsia="Times New Roman" w:cs="Times New Roman"/>
        <w:lang w:val="ru-RU" w:bidi="ru-RU"/>
      </w:rPr>
    </w:lvl>
    <w:lvl w:ilvl="7" w:tentative="1">
      <w:start w:val="1"/>
      <w:numFmt w:val="lowerLetter"/>
      <w:suff w:val="tab"/>
      <w:lvlText w:val="%8."/>
      <w:lvlJc w:val="left"/>
      <w:pPr>
        <w:ind w:left="5684" w:hanging="360"/>
      </w:pPr>
      <w:rPr>
        <w:rFonts w:ascii="Times New Roman" w:hAnsi="Times New Roman" w:eastAsia="Times New Roman" w:cs="Times New Roman"/>
        <w:lang w:val="ru-RU" w:bidi="ru-RU"/>
      </w:rPr>
    </w:lvl>
    <w:lvl w:ilvl="8" w:tentative="1">
      <w:start w:val="1"/>
      <w:numFmt w:val="lowerRoman"/>
      <w:suff w:val="tab"/>
      <w:lvlText w:val="%9."/>
      <w:lvlJc w:val="right"/>
      <w:pPr>
        <w:ind w:left="6404" w:hanging="180"/>
      </w:pPr>
      <w:rPr>
        <w:rFonts w:ascii="Times New Roman" w:hAnsi="Times New Roman" w:eastAsia="Times New Roman" w:cs="Times New Roman"/>
        <w:lang w:val="ru-RU" w:bidi="ru-RU"/>
      </w:rPr>
    </w:lvl>
  </w:abstractNum>
  <w:abstractNum w:abstractNumId="1930386031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  <w:lang w:val="ru-RU" w:bidi="ru-RU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  <w:lang w:val="ru-RU" w:bidi="ru-RU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ascii="Times New Roman" w:hAnsi="Times New Roman" w:eastAsia="Times New Roman" w:cs="Times New Roman"/>
        <w:lang w:val="ru-RU" w:bidi="ru-RU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lang w:val="ru-RU" w:bidi="ru-RU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ascii="Times New Roman" w:hAnsi="Times New Roman" w:eastAsia="Times New Roman" w:cs="Times New Roman"/>
        <w:lang w:val="ru-RU" w:bidi="ru-RU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ascii="Times New Roman" w:hAnsi="Times New Roman" w:eastAsia="Times New Roman" w:cs="Times New Roman"/>
        <w:lang w:val="ru-RU" w:bidi="ru-RU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  <w:lang w:val="ru-RU" w:bidi="ru-RU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ascii="Times New Roman" w:hAnsi="Times New Roman" w:eastAsia="Times New Roman" w:cs="Times New Roman"/>
        <w:lang w:val="ru-RU" w:bidi="ru-RU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ascii="Times New Roman" w:hAnsi="Times New Roman" w:eastAsia="Times New Roman" w:cs="Times New Roman"/>
        <w:lang w:val="ru-RU" w:bidi="ru-RU"/>
      </w:rPr>
    </w:lvl>
  </w:abstractNum>
  <w:num w:numId="1">
    <w:abstractNumId w:val="-2"/>
    <w:lvlOverride w:ilvl="0"/>
  </w:num>
  <w:num w:numId="2">
    <w:abstractNumId w:val="813376694"/>
  </w:num>
  <w:num w:numId="3">
    <w:abstractNumId w:val="768232363"/>
  </w:num>
  <w:num w:numId="4">
    <w:abstractNumId w:val="110131421"/>
  </w:num>
  <w:num w:numId="5">
    <w:abstractNumId w:val="19303860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164730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pos w:val="pageBottom"/>
    <w:footnote w:id="0"/>
    <w:footnote w:id="1"/>
  </w:footnotePr>
  <w:endnotePr>
    <w:pos w:val="docEnd"/>
    <w:endnote w:id="0"/>
    <w:endnote w:id="1"/>
  </w:endnotePr>
  <w:compat>
    <w:forgetLastTabAlignment w:val="true"/>
    <w:doNotUseHTMLParagraphAutoSpacing w:val="true"/>
    <w:compatSetting w:name="compatibilityMode" w:uri="http://schemas.microsoft.com/office/word" w:val="11"/>
  </w:compat>
  <m:mathPr>
    <m:mathFont m:val="Cambria Math"/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ru-RU" w:bidi="ru-RU"/>
      </w:rPr>
    </w:rPrDefault>
    <w:pPrDefault>
      <w:pPr>
        <w:spacing w:before="0" w:after="200" w:line="276" w:lineRule="auto"/>
        <w:ind w:left="0" w:right="0"/>
        <w:jc w:val="left"/>
        <w:rPr>
          <w:rFonts w:ascii="Times New Roman" w:hAnsi="Times New Roman" w:eastAsia="Times New Roman" w:cs="Times New Roman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uiPriority w:val="0"/>
    <w:qFormat/>
    <w:pPr>
      <w:spacing w:before="0" w:after="0" w:line="240" w:lineRule="auto"/>
      <w:ind w:left="0" w:right="0"/>
      <w:jc w:val="left"/>
      <w:rPr>
        <w:rFonts w:ascii="Times New Roman" w:hAnsi="Times New Roman" w:eastAsia="Times New Roman" w:cs="Times New Roman"/>
        <w:lang w:val="ru-RU" w:bidi="ru-RU"/>
      </w:rPr>
    </w:pPr>
    <w:rPr>
      <w:rFonts w:ascii="Times New Roman" w:hAnsi="Times New Roman" w:eastAsia="Times New Roman" w:cs="Times New Roman"/>
      <w:sz w:val="20"/>
      <w:szCs w:val="20"/>
      <w:lang w:val="ru-RU" w:bidi="ru-RU"/>
    </w:rPr>
  </w:style>
  <w:style w:type="character" w:styleId="Style_10">
    <w:name w:val="Default Paragraph Font"/>
    <w:semiHidden/>
    <w:rPr>
      <w:rFonts w:ascii="Times New Roman" w:hAnsi="Times New Roman" w:eastAsia="Times New Roman" w:cs="Times New Roman"/>
      <w:sz w:val="24"/>
      <w:szCs w:val="24"/>
      <w:lang w:val="ru-RU" w:bidi="ru-RU"/>
    </w:rPr>
  </w:style>
  <w:style w:type="table" w:styleId="Style_11">
    <w:name w:val="Normal Table"/>
    <w:semiHidden/>
    <w:unhideWhenUsed/>
    <w:pPr>
      <w:spacing w:before="0" w:after="200" w:line="276" w:lineRule="auto"/>
      <w:ind w:left="0" w:right="0"/>
      <w:jc w:val="left"/>
      <w:rPr>
        <w:rFonts w:ascii="Times New Roman" w:hAnsi="Times New Roman" w:eastAsia="Times New Roman" w:cs="Times New Roman"/>
        <w:lang w:val="ru-RU" w:bidi="ru-RU"/>
      </w:rPr>
    </w:pPr>
    <w:rPr>
      <w:rFonts w:ascii="Times New Roman" w:hAnsi="Times New Roman" w:eastAsia="Times New Roman" w:cs="Times New Roman"/>
      <w:sz w:val="22"/>
      <w:szCs w:val="22"/>
      <w:lang w:val="ru-RU" w:bidi="ru-RU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shd w:val="clear" w:color="000000" w:fill="000000"/>
      <w:tblLayout w:type="fixed"/>
      <w:tblCellMar>
        <w:left w:w="108" w:type="dxa"/>
        <w:right w:w="108" w:type="dxa"/>
      </w:tblCellMar>
    </w:tblPr>
  </w:style>
  <w:style w:type="paragraph" w:styleId="Style_15">
    <w:name w:val="footer"/>
    <w:basedOn w:val="Style_0"/>
    <w:pPr>
      <w:tabs>
        <w:tab w:val="center" w:pos="4677"/>
        <w:tab w:val="right" w:pos="9355"/>
      </w:tabs>
      <w:spacing w:before="0" w:after="0" w:line="240" w:lineRule="auto"/>
      <w:ind w:left="0" w:right="0"/>
      <w:jc w:val="left"/>
      <w:rPr>
        <w:rFonts w:ascii="Times New Roman" w:hAnsi="Times New Roman" w:eastAsia="Times New Roman" w:cs="Times New Roman"/>
        <w:lang w:val="ru-RU" w:bidi="ru-RU"/>
      </w:rPr>
    </w:pPr>
    <w:rPr>
      <w:rFonts w:ascii="Times New Roman" w:hAnsi="Times New Roman" w:eastAsia="Times New Roman" w:cs="Times New Roman"/>
      <w:sz w:val="20"/>
      <w:szCs w:val="20"/>
      <w:lang w:val="ru-RU" w:bidi="ru-RU"/>
    </w:rPr>
  </w:style>
  <w:style w:type="character" w:styleId="Style_16">
    <w:name w:val="Нижний колонтитул Знак"/>
    <w:basedOn w:val="Style_10"/>
    <w:semiHidden/>
    <w:locked/>
    <w:rPr>
      <w:rFonts w:ascii="Times New Roman" w:hAnsi="Times New Roman" w:eastAsia="Times New Roman" w:cs="Times New Roman"/>
      <w:sz w:val="20"/>
      <w:szCs w:val="20"/>
      <w:lang w:val="ru-RU" w:bidi="ru-RU"/>
    </w:rPr>
  </w:style>
  <w:style w:type="character" w:styleId="Style_17">
    <w:name w:val="page number"/>
    <w:basedOn w:val="Style_10"/>
    <w:rPr>
      <w:rFonts w:ascii="Times New Roman" w:hAnsi="Times New Roman" w:eastAsia="Times New Roman" w:cs="Times New Roman"/>
      <w:sz w:val="24"/>
      <w:szCs w:val="24"/>
      <w:lang w:val="ru-RU" w:bidi="ru-RU"/>
    </w:rPr>
  </w:style>
  <w:style w:type="paragraph" w:styleId="Style_18">
    <w:name w:val="header"/>
    <w:basedOn w:val="Style_0"/>
    <w:pPr>
      <w:tabs>
        <w:tab w:val="center" w:pos="4677"/>
        <w:tab w:val="right" w:pos="9355"/>
      </w:tabs>
      <w:spacing w:before="0" w:after="0" w:line="240" w:lineRule="auto"/>
      <w:ind w:left="0" w:right="0"/>
      <w:jc w:val="left"/>
      <w:rPr>
        <w:rFonts w:ascii="Times New Roman" w:hAnsi="Times New Roman" w:eastAsia="Times New Roman" w:cs="Times New Roman"/>
        <w:lang w:val="ru-RU" w:bidi="ru-RU"/>
      </w:rPr>
    </w:pPr>
    <w:rPr>
      <w:rFonts w:ascii="Times New Roman" w:hAnsi="Times New Roman" w:eastAsia="Times New Roman" w:cs="Times New Roman"/>
      <w:sz w:val="20"/>
      <w:szCs w:val="20"/>
      <w:lang w:val="ru-RU" w:bidi="ru-RU"/>
    </w:rPr>
  </w:style>
  <w:style w:type="character" w:styleId="Style_19">
    <w:name w:val="Верхний колонтитул Знак"/>
    <w:basedOn w:val="Style_10"/>
    <w:semiHidden/>
    <w:locked/>
    <w:rPr>
      <w:rFonts w:ascii="Times New Roman" w:hAnsi="Times New Roman" w:eastAsia="Times New Roman" w:cs="Times New Roman"/>
      <w:sz w:val="20"/>
      <w:szCs w:val="20"/>
      <w:lang w:val="ru-RU" w:bidi="ru-RU"/>
    </w:rPr>
  </w:style>
  <w:style w:type="paragraph" w:styleId="Style_20">
    <w:name w:val="ConsPlusNonformat"/>
    <w:uiPriority w:val="0"/>
    <w:pPr>
      <w:spacing w:before="0" w:after="0" w:line="240" w:lineRule="auto"/>
      <w:ind w:left="0" w:right="0"/>
      <w:jc w:val="left"/>
      <w:rPr>
        <w:rFonts w:ascii="Times New Roman" w:hAnsi="Times New Roman" w:eastAsia="Times New Roman" w:cs="Times New Roman"/>
        <w:lang w:val="ru-RU" w:bidi="ru-RU"/>
      </w:rPr>
    </w:pPr>
    <w:rPr>
      <w:rFonts w:ascii="Courier New" w:hAnsi="Courier New" w:eastAsia="Courier New" w:cs="Courier New"/>
      <w:sz w:val="20"/>
      <w:szCs w:val="20"/>
      <w:lang w:val="ru-RU" w:bidi="ru-RU"/>
    </w:rPr>
  </w:style>
  <w:style w:type="paragraph" w:styleId="Style_21">
    <w:name w:val="Balloon Text"/>
    <w:basedOn w:val="Style_0"/>
    <w:semiHidden/>
    <w:unhideWhenUsed/>
    <w:pPr>
      <w:spacing w:before="0" w:after="0" w:line="240" w:lineRule="auto"/>
      <w:ind w:left="0" w:right="0"/>
      <w:jc w:val="left"/>
      <w:rPr>
        <w:rFonts w:ascii="Times New Roman" w:hAnsi="Times New Roman" w:eastAsia="Times New Roman" w:cs="Times New Roman"/>
        <w:lang w:val="ru-RU" w:bidi="ru-RU"/>
      </w:rPr>
    </w:pPr>
    <w:rPr>
      <w:rFonts w:ascii="Tahoma" w:hAnsi="Tahoma" w:eastAsia="Tahoma" w:cs="Tahoma"/>
      <w:sz w:val="16"/>
      <w:szCs w:val="16"/>
      <w:lang w:val="ru-RU" w:bidi="ru-RU"/>
    </w:rPr>
  </w:style>
  <w:style w:type="character" w:styleId="Style_22">
    <w:name w:val="Текст выноски Знак"/>
    <w:basedOn w:val="Style_10"/>
    <w:semiHidden/>
    <w:locked/>
    <w:rPr>
      <w:rFonts w:ascii="Tahoma" w:hAnsi="Tahoma" w:eastAsia="Tahoma" w:cs="Tahoma"/>
      <w:sz w:val="16"/>
      <w:szCs w:val="16"/>
      <w:lang w:val="ru-RU" w:bidi="ru-RU"/>
    </w:rPr>
  </w:style>
  <w:style w:type="paragraph" w:styleId="Style_23">
    <w:name w:val="List Paragraph"/>
    <w:basedOn w:val="Style_0"/>
    <w:uiPriority w:val="34"/>
    <w:qFormat/>
    <w:pPr>
      <w:spacing w:before="0" w:after="0" w:line="240" w:lineRule="auto"/>
      <w:ind w:left="708" w:right="0"/>
      <w:jc w:val="left"/>
      <w:rPr>
        <w:rFonts w:ascii="Times New Roman" w:hAnsi="Times New Roman" w:eastAsia="Times New Roman" w:cs="Times New Roman"/>
        <w:lang w:val="ru-RU" w:bidi="ru-RU"/>
      </w:rPr>
    </w:pPr>
    <w:rPr>
      <w:rFonts w:ascii="Times New Roman" w:hAnsi="Times New Roman" w:eastAsia="Times New Roman" w:cs="Times New Roman"/>
      <w:sz w:val="20"/>
      <w:szCs w:val="20"/>
      <w:lang w:val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Liberation Sans"/>
        <a:cs typeface="Liberation Sans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WithSpaces>9626</CharactersWithSpaces>
  <DocSecurity>0</DocSecurity>
  <HyperlinksChanged>false</HyperlinksChanged>
  <LinksUpToDate>false</LinksUpToDate>
  <Pages>6</Pages>
  <ScaleCrop>false</ScaleCrop>
  <SharedDoc>false</SharedDoc>
  <TotalTime>1369</TotalTime>
  <Words>1688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</cp:lastModifiedBy>
</cp:coreProperties>
</file>